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2E" w:rsidRPr="002E060B" w:rsidRDefault="00D46F1F" w:rsidP="0072052E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76350" cy="1343025"/>
            <wp:effectExtent l="0" t="0" r="0" b="9525"/>
            <wp:docPr id="1" name="Рисунок 2" descr="http://files.stroyinf.ru/Data1/3/378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.stroyinf.ru/Data1/3/3787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2E" w:rsidRPr="002E060B" w:rsidRDefault="0072052E" w:rsidP="0072052E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ГОСУДАРСТВЕННЫЙ СТАНДАРТ СОЮЗА ССР</w:t>
      </w:r>
    </w:p>
    <w:p w:rsidR="0072052E" w:rsidRPr="002E060B" w:rsidRDefault="0072052E" w:rsidP="0072052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СРЕДСТВА ПОДМАЩИВАНИЯ</w:t>
      </w:r>
    </w:p>
    <w:p w:rsidR="0072052E" w:rsidRPr="002E060B" w:rsidRDefault="0072052E" w:rsidP="0072052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ОБЩИЕ ТЕХНИЧЕСКИЕ УСЛОВИЯ</w:t>
      </w:r>
    </w:p>
    <w:p w:rsidR="0072052E" w:rsidRPr="002E060B" w:rsidRDefault="0072052E" w:rsidP="0072052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ГОСТ 24258-88</w:t>
      </w:r>
    </w:p>
    <w:p w:rsidR="0072052E" w:rsidRPr="002E060B" w:rsidRDefault="0072052E" w:rsidP="0072052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ГОСУДАРСТВЕННЫЙ СТРОИТЕЛЬНЫЙ КОМИТЕТ СССР</w:t>
      </w:r>
    </w:p>
    <w:p w:rsidR="0072052E" w:rsidRPr="002E060B" w:rsidRDefault="0072052E" w:rsidP="0072052E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pacing w:val="40"/>
          <w:sz w:val="27"/>
          <w:szCs w:val="27"/>
          <w:lang w:eastAsia="ru-RU"/>
        </w:rPr>
        <w:t>Москва</w:t>
      </w:r>
    </w:p>
    <w:p w:rsidR="0072052E" w:rsidRPr="002E060B" w:rsidRDefault="0072052E" w:rsidP="0072052E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2091"/>
      </w:tblGrid>
      <w:tr w:rsidR="0072052E" w:rsidRPr="0072052E" w:rsidTr="00FF7B92">
        <w:trPr>
          <w:jc w:val="center"/>
        </w:trPr>
        <w:tc>
          <w:tcPr>
            <w:tcW w:w="3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ПОДМАЩИВАНИЯ</w:t>
            </w:r>
          </w:p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технические условия</w:t>
            </w:r>
          </w:p>
          <w:p w:rsidR="0072052E" w:rsidRPr="002E060B" w:rsidRDefault="0072052E" w:rsidP="00FF7B9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Different types of scaffolding. General specifications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ГОСТ </w:t>
            </w:r>
            <w:r w:rsidRPr="002E0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24259-80</w:t>
            </w:r>
          </w:p>
        </w:tc>
      </w:tr>
    </w:tbl>
    <w:p w:rsidR="0072052E" w:rsidRPr="002E060B" w:rsidRDefault="0072052E" w:rsidP="0072052E">
      <w:pPr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введения </w:t>
      </w: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01.07.1989</w:t>
      </w: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Настоящий стандарт распространяется на средства подмащивания, применяемые в процессе производства строительно-монтажных работ при возведении, реконструкции, ремонта зданий и сооружений для организации рабочих мест на высоте.</w:t>
      </w: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Стандарт не распространяется на конструкции, совмещающие функции средств подмащивания с какими-либо другими функциями (опалубки, кондуктора и т.п.) или используемые для подъема или приемки грузов (подъемники, площадки для приемки доставляемых на высоту грузов и т.п.), а также на ходовую часть самоходных средств подмащивания и гидравлический привод средств подмащивания.</w:t>
      </w: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Пояснения к терминам, используемым в настоящем стандарте, приведены в приложении </w:t>
      </w:r>
      <w:hyperlink r:id="rId6" w:anchor="i1533384" w:tooltip="Приложение 1" w:history="1">
        <w:r w:rsidRPr="002E060B">
          <w:rPr>
            <w:rFonts w:ascii="Times New Roman" w:eastAsia="Times New Roman" w:hAnsi="Times New Roman"/>
            <w:color w:val="000096"/>
            <w:sz w:val="27"/>
            <w:szCs w:val="27"/>
            <w:u w:val="single"/>
            <w:lang w:eastAsia="ru-RU"/>
          </w:rPr>
          <w:t>1</w:t>
        </w:r>
      </w:hyperlink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66149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1. ТИПЫ И ОСНОВНЫЕ ПАРАМЕТРЫ</w:t>
      </w:r>
      <w:bookmarkEnd w:id="1"/>
    </w:p>
    <w:p w:rsidR="0072052E" w:rsidRPr="002E060B" w:rsidRDefault="0072052E" w:rsidP="0072052E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Типы и основные параметры средств подмащивания должны соответствовать приведенным в таблице.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72052E" w:rsidRPr="0072052E" w:rsidTr="00FF7B92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средств подмащивания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нормативной поверхностной нагрузки, Па (кгс/м</w:t>
            </w:r>
            <w:r w:rsidRPr="002E06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рабочей площадки средств подмащивания, м, не более</w:t>
            </w: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стоечные приставные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 (250)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 (300)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 (500)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свободностоящие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передвижные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навесные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Подмости сборно-разборные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2052E" w:rsidRPr="0072052E" w:rsidTr="00FF7B92">
        <w:trPr>
          <w:trHeight w:val="224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Подмости передвижные с перемещаемым рабочим местом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2052E" w:rsidRPr="0072052E" w:rsidTr="00FF7B92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 (300)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 (500)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Подмости навесные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Вышки передвижные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Люльки электрические подвесные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Площадки, навешиваемые на лестницы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Площадки, навешиваемые на строительные конструкции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Лестницы свободно-стоящие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Лестницы навесные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Лестницы приставные наклонные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2052E" w:rsidRPr="0072052E" w:rsidTr="00FF7B92">
        <w:trPr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Лестницы приставные вертикальные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Лестницы маршевые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052E" w:rsidRPr="0072052E" w:rsidTr="00FF7B92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52E" w:rsidRPr="002E060B" w:rsidRDefault="0072052E" w:rsidP="0072052E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(Измененная редакция).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115510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2. ТЕХНИЧЕСКИЕ ТРЕБОВАНИЯ</w:t>
      </w:r>
      <w:bookmarkEnd w:id="2"/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3" w:name="i132430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Средства подмащивания должны быть разработаны и изготовлены в соответствии с требованиями настоящего стандарта, стандартов на средства подмащивания конкретного типа, </w:t>
      </w:r>
      <w:bookmarkEnd w:id="3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15.001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по конструкторской документации, утвержденной в установленном порядке. Средства подмащивания с машинным приводом для перемещения рабочих мест по высоте должны также удовлетворять требованиям «Правил устройства и безопасной эксплуатации грузоподъемных кранов» Госгортехнадзора СССР и «Правил устройства электроустановок 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(ПУЭ)»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Минэнерго СССР.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2.2. </w:t>
      </w:r>
      <w:r w:rsidRPr="002E060B">
        <w:rPr>
          <w:rFonts w:ascii="Times New Roman" w:eastAsia="Times New Roman" w:hAnsi="Times New Roman"/>
          <w:color w:val="000000"/>
          <w:spacing w:val="50"/>
          <w:sz w:val="27"/>
          <w:szCs w:val="27"/>
          <w:lang w:eastAsia="ru-RU"/>
        </w:rPr>
        <w:t>Характеристики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4" w:name="i173046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2.2.1. Средства подмащивания должны быть разработаны и изготовлены в климатическом исполнении У или ХЛ по </w:t>
      </w:r>
      <w:bookmarkEnd w:id="4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15150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5" w:name="i193382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2.2.2. При разработке конструкции средств подмащивания следует руководствоваться </w:t>
      </w:r>
      <w:bookmarkEnd w:id="5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2.01.07-85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II-23-81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2.03.06-85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II-25-80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2.2.3. Средства подмащивания должны выдерживать нагрузку от собственной массы и временные нагрузки от людей, материалов и ветра.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2.2.4. При разработке конструкторской документации следует принимать: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коэффициент надежности по нагрузке: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1,2 - от людей и материалов,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1,1 - от собственной массы,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1,3 - от ветра;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коэффициент надежности по назначению: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7 - при расчете подвесок из стального каната,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9 - при расчете канатов лебедок, предназначенных для подъема людей,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4 - при расчете стержневых подвесок,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1,5 - при расчете креплений средств подмащивания к строительным конструкциям,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3,0 - при расчете удельного давления опор на грунт,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1,0 - при расчете прочих элементов;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коэффициент условий работы элементов конструкции: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0,9 - при расчете стоек на устойчивость,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1,5 - при расчете перил ограждения;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коэффициент запаса на опрокидывание:</w:t>
      </w:r>
    </w:p>
    <w:p w:rsidR="0072052E" w:rsidRPr="002E060B" w:rsidRDefault="0072052E" w:rsidP="007205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1,4 - при расчете устойчивости свободностоящих и передвижных средств подмащивания.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2.2.5. Марки материалов несущих элементов средств подмащивания должны быть указаны в стандартах или технических условиях на средства подмащивания конкретного типа.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6" w:name="i513323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2.2.6. Предельные отклонения размеров деталей средств подмащивания должны быть приведены в конструкторской документации.</w:t>
      </w:r>
      <w:bookmarkEnd w:id="6"/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2.2.7. Масса сборочных элементов, приходящаяся на одного рабочего при ручной сборке средств подмащивания на строительном объекте, должна быть, не более: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 кг - при монтаже средств подмащивания на высоте;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 кг - при монтаже средств подмащивания на земле или перекрытии (с последующей установкой их в рабочее положение монтажными кранами, лебедками и т.п.).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2.2.8. Значение и направление нормативной нагрузки на перильное ограждение должны быть указаны в стандартах или технических условиях на средства подмащивания конкретных типов.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2.2.9. Усилие на рукоятках при вращении ручных приводов средств подмащивания должно быть не более 160 Н (16 кгс).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2.2.10. Превышение массы средств подмащивания от проектной должно быть не более 3 %.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2.2.11. Для подъема кранами средства подмащивания должны иметь строповочные устройства.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2.2.12. В коробчатых и трубчатых конструкциях должны быть предусмотрены меры против скопления в них влаги.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7" w:name="i697951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2.2.13. Стальные конструкции средств подмащивания должны быть огрунтованы и окрашены на предприятии-изготовителе лакокрасочными материалами, соответствующими слабоагрессивной среде по </w:t>
      </w:r>
      <w:bookmarkEnd w:id="7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2.03.11-85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8" w:name="i713876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2.2.14. Поверхность стальных элементов средств подмащивания должна быть перед окраской очищена до 4-й степени по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bookmarkEnd w:id="8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begin"/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instrText xml:space="preserve"> HYPERLINK "http://files.stroyinf.ru/Data1/9/9193/index.htm" \o "ЕСЗКС. Покрытия лакокрасочные. Подготовка металлических поверхностей перед окрашиванием" </w:instrTex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separate"/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9.402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end"/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2.2.15. Стальные детали, имеющие контакт с элементами конструкций из алюминиевых сплавов, должны иметь покрытие, исключающее возможность образования электропары между ними.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2.2.16. Средства подмащивания, рабочий настил которых расположен на высоте 1,3 м и более от поверхности земли или перекрытия, должны иметь перильное и бортовое ограждение.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2.2.17. Высоту ограждения указывают в стандартах на средства подмащивания конкретного типа. Расстояние между горизонтальными элементами ограждения должно быть не более 0,45 м или ограждение должно иметь сетчатое, решетчатое и т.п. заполнение.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2.2.18. Средства подмащивания с машинным приводом для перемещения рабочего места по высоте должны иметь: аппарат управления перемещением, расположенный непосредственно на рабочем месте; ограничители высоты подъема; предохранительные устройства (ловители), препятствующие самопроизвольному опусканию (падению) рабочего места.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2.2.19. Конструкции разъемных соединений должны иметь фиксирующие устройства, предохраняющие их от самопроизвольного разъединения.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2.2.20. На металлических деталях и элементах не допускается наличие острых кромок, заусенцев, трещин, раковин, расслоений.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9" w:name="i854599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2.2.21. Сигнальная окраска средств подмащивания должна соответствовать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bookmarkEnd w:id="9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begin"/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instrText xml:space="preserve"> HYPERLINK "http://files.stroyinf.ru/Data1/4/4699/index.htm" \o "ССБТ. Цвета сигнальные и знаки безопасности" </w:instrTex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separate"/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12.4.026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fldChar w:fldCharType="end"/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2.3. </w:t>
      </w:r>
      <w:r w:rsidRPr="002E060B">
        <w:rPr>
          <w:rFonts w:ascii="Times New Roman" w:eastAsia="Times New Roman" w:hAnsi="Times New Roman"/>
          <w:color w:val="000000"/>
          <w:spacing w:val="50"/>
          <w:sz w:val="27"/>
          <w:szCs w:val="27"/>
          <w:lang w:eastAsia="ru-RU"/>
        </w:rPr>
        <w:t>Комплектность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2.3.1. В комплект поставки должны входить: средство подмащивания конкретного типа согласно комплектовочной ведомости; паспорт с инструкцией по эксплуатации.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2.4. </w:t>
      </w:r>
      <w:r w:rsidRPr="002E060B">
        <w:rPr>
          <w:rFonts w:ascii="Times New Roman" w:eastAsia="Times New Roman" w:hAnsi="Times New Roman"/>
          <w:color w:val="000000"/>
          <w:spacing w:val="50"/>
          <w:sz w:val="27"/>
          <w:szCs w:val="27"/>
          <w:lang w:eastAsia="ru-RU"/>
        </w:rPr>
        <w:t>Маркировка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2.4.1. Каждое средство подмащивания должно иметь маркировку, содержащую: товарный знак (при наличии) или наименование предприятия-изготовителя; обозначение изделия (марку); номер изделия или партии; дату изготовления.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2.4.2. Способ, место нанесения маркировки и др. указывают в стандартах или технических условиях на средства подмащивания конкретного типа.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2.5. </w:t>
      </w:r>
      <w:r w:rsidRPr="002E060B">
        <w:rPr>
          <w:rFonts w:ascii="Times New Roman" w:eastAsia="Times New Roman" w:hAnsi="Times New Roman"/>
          <w:color w:val="000000"/>
          <w:spacing w:val="50"/>
          <w:sz w:val="27"/>
          <w:szCs w:val="27"/>
          <w:lang w:eastAsia="ru-RU"/>
        </w:rPr>
        <w:t>Упаковка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2.5.1. Способ упаковки, транспортную маркировку упаковки указывают в стандартах или технических условиях на средства подмащивания конкретного типа.</w:t>
      </w:r>
    </w:p>
    <w:p w:rsidR="0072052E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" w:name="i1036722"/>
    </w:p>
    <w:p w:rsidR="0072052E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3. ПРИЕМКА</w:t>
      </w:r>
      <w:bookmarkEnd w:id="10"/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Для проверки соответствия средств подмащивания требованиям настоящего стандарта предприятие-изготовитель должно проводить приемо-сдаточные, периодические и типовые испытания.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 Порядок предъявления к испытаниям, объем предъявляемых партий, состав испытаний, проверяемые параметры и технические свойства, а также последовательность их проверки должны быть указаны в стандартах или технических условиях на средства подмащивания конкретного типа.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3.3. Предприятие-изготовитель средств подмащивания должно составить на них паспорт по форме, приведенной в приложении </w:t>
      </w:r>
      <w:hyperlink r:id="rId7" w:anchor="i1603399" w:tooltip="Приложение 2" w:history="1">
        <w:r w:rsidRPr="002E060B">
          <w:rPr>
            <w:rFonts w:ascii="Times New Roman" w:eastAsia="Times New Roman" w:hAnsi="Times New Roman"/>
            <w:color w:val="000096"/>
            <w:sz w:val="27"/>
            <w:szCs w:val="27"/>
            <w:u w:val="single"/>
            <w:lang w:eastAsia="ru-RU"/>
          </w:rPr>
          <w:t>2</w:t>
        </w:r>
      </w:hyperlink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1" w:name="i1138208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4. МЕТОДЫ КОНТРОЛЯ</w:t>
      </w:r>
      <w:bookmarkEnd w:id="11"/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4.1. Качество материалов и изделий должно быть удостоверено сертификатами предприятий-изготовителей.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2" w:name="i1175551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4.2. Геометрические размеры средств подмащивания и их элементов проверяют рулеткой 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по </w:t>
      </w:r>
      <w:bookmarkEnd w:id="12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7502,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металлической линейкой по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427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штангенциркулем по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 ГОСТ 166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угломером с нониусом по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5378</w:t>
      </w:r>
      <w:r w:rsidR="00CE5EE8" w:rsidRPr="00CE5EE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другими инструментами, обеспечивающими точность измерений до 1 мм и проверенными метрологическими организациями Госстандарта СССР в соответствии с требованиями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8.002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8.513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3" w:name="i1196779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4.3. Массу средств подмащивания следует измерять на весах по ГОСТ 23676 или динамометром по </w:t>
      </w:r>
      <w:bookmarkEnd w:id="13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ГОСТ 13837.</w:t>
      </w:r>
    </w:p>
    <w:p w:rsidR="0072052E" w:rsidRPr="002E060B" w:rsidRDefault="0072052E" w:rsidP="0072052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(Измененная редакция).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4" w:name="i1212144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4.4. Качество сварных швов проверяют визуально в соответствии с </w:t>
      </w:r>
      <w:bookmarkEnd w:id="14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3242.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5" w:name="i1237490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4.5. Качество окраски определяют визуально в соответствии с </w:t>
      </w:r>
      <w:bookmarkEnd w:id="15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9.032.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" w:name="i1272038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5. ТРАНСПОРТИРОВАНИЕ И ХРАНЕНИЕ</w:t>
      </w:r>
      <w:bookmarkEnd w:id="16"/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 Транспортирование средств подмащивания следует производить транспортом любого вида, обеспечивающим их сохранность (от механических повреждений, повреждения окраски, загрязнения и т.п.).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7" w:name="i1311841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 Средства подмащивания должны храниться в соответствии с условиями хранения 5 по </w:t>
      </w:r>
      <w:bookmarkEnd w:id="17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ГОСТ 15150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8" w:name="i1354448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6. УКАЗАНИЯ ПО ЭКСПЛУАТАЦИИ</w:t>
      </w:r>
      <w:bookmarkEnd w:id="18"/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9" w:name="i1377986"/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Средства подмащивания следует эксплуатировать в соответствии с инструкцией, прилагаемой к изделию и </w:t>
      </w:r>
      <w:bookmarkEnd w:id="19"/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СНиП III-4-80*.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6.2. Средства подмащивания должны быть зарегистрированы в журнале учета в соответствии с приложением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который должен храниться на каждом строительном объекте.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должен быть нанесен на видном месте на элемент конструкции средства подмащивания или на прикрепленной к нему табличке.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6.3. Результаты проведения приемки в эксплуатацию и периодических осмотров средств подмащивания должны быть отражены в журнале в соответствии с приложением </w:t>
      </w:r>
      <w:r w:rsidRPr="00CE5EE8">
        <w:rPr>
          <w:rFonts w:ascii="Times New Roman" w:eastAsia="Times New Roman" w:hAnsi="Times New Roman"/>
          <w:sz w:val="27"/>
          <w:szCs w:val="27"/>
          <w:lang w:eastAsia="ru-RU"/>
        </w:rPr>
        <w:t>3.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Сроки проведения периодических осмотров указывают в стандартах или технических условиях на средства подмащивания конкретного типа.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" w:name="i1466451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7. ГАРАНТИИ ИЗГОТОВИТЕЛЯ</w:t>
      </w:r>
      <w:bookmarkEnd w:id="20"/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 Изготовитель должен гарантировать соответствие средств подмащивания требованиям настоящего стандарта, стандартам или техническим условиям на конкретные типы средств подмащивания.</w:t>
      </w:r>
    </w:p>
    <w:p w:rsidR="0072052E" w:rsidRPr="002E060B" w:rsidRDefault="0072052E" w:rsidP="0072052E">
      <w:pPr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060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7.2. Гарантийный срок эксплуатации - не менее 12 мес со дня начала эксплуатации, при условии соблюдения потребителем правил эксплуатации, транспортирования и хранения, установленных настоящим стандартом.</w:t>
      </w:r>
    </w:p>
    <w:p w:rsidR="0072052E" w:rsidRPr="002E060B" w:rsidRDefault="0072052E" w:rsidP="0072052E">
      <w:pPr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1" w:name="i1533384"/>
      <w:bookmarkStart w:id="22" w:name="i1545607"/>
      <w:bookmarkEnd w:id="21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ПРИЛОЖЕНИЕ 1</w:t>
      </w:r>
      <w:bookmarkEnd w:id="22"/>
      <w:r w:rsidRPr="002E060B">
        <w:rPr>
          <w:rFonts w:ascii="Times New Roman" w:eastAsia="Times New Roman" w:hAnsi="Times New Roman"/>
          <w:i/>
          <w:iCs/>
          <w:color w:val="000000"/>
          <w:kern w:val="36"/>
          <w:sz w:val="33"/>
          <w:szCs w:val="33"/>
          <w:lang w:eastAsia="ru-RU"/>
        </w:rPr>
        <w:br/>
      </w:r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Справочное</w:t>
      </w:r>
    </w:p>
    <w:p w:rsidR="0072052E" w:rsidRPr="002E060B" w:rsidRDefault="0072052E" w:rsidP="0072052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3" w:name="i1568104"/>
      <w:r w:rsidRPr="002E060B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ТЕРМИНЫ И ПОЯСНЕНИЯ</w:t>
      </w:r>
      <w:bookmarkEnd w:id="2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369"/>
      </w:tblGrid>
      <w:tr w:rsidR="0072052E" w:rsidRPr="0072052E" w:rsidTr="00FF7B92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052E" w:rsidRPr="002E060B" w:rsidRDefault="0072052E" w:rsidP="00FF7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предназначенные для организации рабочих мест при производстве строительно-монтажных работ на высоте или глубине более 1,3 м от уровня земли или перекрытия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стоящие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обладающие собственной устойчивостью в рабочем положении и не требующие их крепления к несущим конструкциям зданий и сооружений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Приставные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устойчивое положение которых обеспечивается креплением их к конструкциям зданий и сооружений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Переставные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перемещаемые вдоль фронта работ путем перестановки их краном или вручную (в т.ч. с частичной или полной разборкой и последующей сборкой)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Передвижные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перемещаемые вдоль фронта работ передвижением на колесных опорах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Подвесные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прикрепляемые к конструкциям зданий и сооружений гибкими подвесками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Навесные средства подмащивания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Устройства, неподвижно прикрепляемые к конструкциям зданий и сооружений специальными деталями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Многоярусная конструкция, предназначенная для организации рабочих мест на разных горизонтах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Подмости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Одноярусная конструкция, предназначенная для выполнения работ, требующих перемещения рабочих мест по фронту работ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Передвижная конструкция, предназначенная для кратковременных работ на высоте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Люлька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Подвесная конструкция с рабочим местом, перемещаемым по высоте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Навесная конструкция, предназначенная для образования рабочего места непосредственно в зоне производства работ</w:t>
            </w:r>
          </w:p>
        </w:tc>
      </w:tr>
      <w:tr w:rsidR="0072052E" w:rsidRPr="0072052E" w:rsidTr="00FF7B92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052E" w:rsidRPr="002E060B" w:rsidRDefault="0072052E" w:rsidP="00FF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Конструкция, предназначенная для перемещения людей по высоте и создания кратковременных рабочих мест</w:t>
            </w:r>
          </w:p>
        </w:tc>
      </w:tr>
    </w:tbl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52E" w:rsidRDefault="0072052E" w:rsidP="0072052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A49" w:rsidRDefault="00B04A49"/>
    <w:sectPr w:rsidR="00B0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2E"/>
    <w:rsid w:val="0072052E"/>
    <w:rsid w:val="00B04A49"/>
    <w:rsid w:val="00CE5EE8"/>
    <w:rsid w:val="00D46F1F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3/37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7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Links>
    <vt:vector size="24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http://files.stroyinf.ru/Data1/3/3787/</vt:lpwstr>
      </vt:variant>
      <vt:variant>
        <vt:lpwstr>i1603399</vt:lpwstr>
      </vt:variant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http://files.stroyinf.ru/Data1/4/4699/index.htm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http://files.stroyinf.ru/Data1/9/9193/index.htm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http://files.stroyinf.ru/Data1/3/3787/</vt:lpwstr>
      </vt:variant>
      <vt:variant>
        <vt:lpwstr>i1533384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2018-08-27T07:20:00Z</dcterms:created>
  <dcterms:modified xsi:type="dcterms:W3CDTF">2018-08-27T07:20:00Z</dcterms:modified>
</cp:coreProperties>
</file>